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B5AB2" w14:textId="77777777" w:rsidR="00AC23D8" w:rsidRDefault="00CC06F2" w:rsidP="00B72A01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</w:p>
    <w:p w14:paraId="67018BFA" w14:textId="3308F1AD" w:rsidR="00050C56" w:rsidRPr="00112384" w:rsidRDefault="00CC06F2" w:rsidP="00B72A01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="00AC23D8">
        <w:rPr>
          <w:rFonts w:ascii="Calibri" w:hAnsi="Calibri"/>
          <w:b/>
          <w:sz w:val="24"/>
          <w:szCs w:val="24"/>
        </w:rPr>
        <w:t xml:space="preserve">USTAWY </w:t>
      </w:r>
      <w:r w:rsidR="001F3BBB">
        <w:rPr>
          <w:rFonts w:ascii="Calibri" w:hAnsi="Calibri"/>
          <w:b/>
          <w:sz w:val="24"/>
          <w:szCs w:val="24"/>
        </w:rPr>
        <w:t xml:space="preserve">- </w:t>
      </w:r>
      <w:r w:rsidR="00AC23D8">
        <w:rPr>
          <w:rFonts w:ascii="Calibri" w:hAnsi="Calibri"/>
          <w:b/>
          <w:sz w:val="24"/>
          <w:szCs w:val="24"/>
        </w:rPr>
        <w:t>PRAWO KOMUNIKACJI ELEKTRONICZNEJ</w:t>
      </w:r>
    </w:p>
    <w:p w14:paraId="4163DBDF" w14:textId="77777777" w:rsidR="00050C56" w:rsidRPr="00112384" w:rsidRDefault="00050C56">
      <w:pPr>
        <w:rPr>
          <w:rFonts w:ascii="Calibri" w:hAnsi="Calibri"/>
          <w:sz w:val="24"/>
          <w:szCs w:val="24"/>
        </w:rPr>
      </w:pPr>
    </w:p>
    <w:p w14:paraId="2EF6E2FD" w14:textId="77777777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14:paraId="0CF25CC5" w14:textId="547EAE55" w:rsidR="00B54D33" w:rsidRPr="00B54D33" w:rsidRDefault="00B54D33" w:rsidP="00B54D3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Przepisy projektu ustawy - Prawo komunikacji elektronicznej</w:t>
      </w:r>
      <w:r w:rsidR="00050C56" w:rsidRPr="00112384">
        <w:rPr>
          <w:rFonts w:ascii="Calibri" w:hAnsi="Calibri"/>
          <w:sz w:val="24"/>
          <w:szCs w:val="24"/>
        </w:rPr>
        <w:t xml:space="preserve"> stanowi</w:t>
      </w:r>
      <w:r>
        <w:rPr>
          <w:rFonts w:ascii="Calibri" w:hAnsi="Calibri"/>
          <w:sz w:val="24"/>
          <w:szCs w:val="24"/>
        </w:rPr>
        <w:t>ą</w:t>
      </w:r>
      <w:r w:rsidR="00050C56" w:rsidRPr="00112384">
        <w:rPr>
          <w:rFonts w:ascii="Calibri" w:hAnsi="Calibri"/>
          <w:sz w:val="24"/>
          <w:szCs w:val="24"/>
        </w:rPr>
        <w:t xml:space="preserve"> </w:t>
      </w:r>
      <w:r w:rsidRPr="00B54D33">
        <w:rPr>
          <w:rFonts w:ascii="Calibri" w:hAnsi="Calibri"/>
          <w:sz w:val="24"/>
          <w:szCs w:val="24"/>
        </w:rPr>
        <w:t>implementację do polskiego porządku prawnego dyrektyw</w:t>
      </w:r>
      <w:r>
        <w:rPr>
          <w:rFonts w:ascii="Calibri" w:hAnsi="Calibri"/>
          <w:sz w:val="24"/>
          <w:szCs w:val="24"/>
        </w:rPr>
        <w:t>y</w:t>
      </w:r>
      <w:r w:rsidRPr="00B54D33">
        <w:rPr>
          <w:rFonts w:ascii="Calibri" w:hAnsi="Calibri"/>
          <w:sz w:val="24"/>
          <w:szCs w:val="24"/>
        </w:rPr>
        <w:t xml:space="preserve"> Parlamentu Europejskiego i Rady (UE) 2018/1972 z dnia 11 grudnia 2018 r. ustanawiają</w:t>
      </w:r>
      <w:r>
        <w:rPr>
          <w:rFonts w:ascii="Calibri" w:hAnsi="Calibri"/>
          <w:sz w:val="24"/>
          <w:szCs w:val="24"/>
        </w:rPr>
        <w:t>cej</w:t>
      </w:r>
      <w:r w:rsidRPr="00B54D33">
        <w:rPr>
          <w:rFonts w:ascii="Calibri" w:hAnsi="Calibri"/>
          <w:sz w:val="24"/>
          <w:szCs w:val="24"/>
        </w:rPr>
        <w:t xml:space="preserve"> Europejski kodeks łączności elektronicznej</w:t>
      </w:r>
      <w:r w:rsidR="001F3BBB">
        <w:rPr>
          <w:rFonts w:ascii="Calibri" w:hAnsi="Calibri"/>
          <w:sz w:val="24"/>
          <w:szCs w:val="24"/>
        </w:rPr>
        <w:t>.</w:t>
      </w:r>
    </w:p>
    <w:p w14:paraId="48DDA26B" w14:textId="77777777" w:rsidR="00B54D33" w:rsidRPr="00B54D33" w:rsidRDefault="00B54D33" w:rsidP="00B54D33">
      <w:pPr>
        <w:jc w:val="both"/>
        <w:rPr>
          <w:rFonts w:ascii="Calibri" w:hAnsi="Calibri"/>
          <w:sz w:val="24"/>
          <w:szCs w:val="24"/>
        </w:rPr>
      </w:pPr>
      <w:r w:rsidRPr="00B54D33">
        <w:rPr>
          <w:rFonts w:ascii="Calibri" w:hAnsi="Calibri"/>
          <w:sz w:val="24"/>
          <w:szCs w:val="24"/>
        </w:rPr>
        <w:t>Kodeks zastąpił obowiązujący do tej pory pakiet dyrektyw z 2002 roku, znowelizowany w 2009 r. Europejski Kodeks Łączności Elektronicznej, który wszedł w życie 20 grudnia 2018 r. zawiera pakiet przepisów kompleksowo regulujących sektor łączności elektronicznej, określających w szczególności prawa i obowiązki zarówno organów regulacyjnych, przedsiębiorców, jak i użytkowników końcowych (w tym konsumentów). Kodeks zastąpił cztery obowiązujące dotąd dyrektywy stanowiące tzw. pakiet dyrektyw łączności elektronicznej:</w:t>
      </w:r>
    </w:p>
    <w:p w14:paraId="79ACCD31" w14:textId="77777777" w:rsidR="00B54D33" w:rsidRPr="00B54D33" w:rsidRDefault="00B54D33" w:rsidP="00B54D33">
      <w:pPr>
        <w:numPr>
          <w:ilvl w:val="0"/>
          <w:numId w:val="8"/>
        </w:numPr>
        <w:jc w:val="both"/>
        <w:rPr>
          <w:rFonts w:ascii="Calibri" w:hAnsi="Calibri"/>
          <w:sz w:val="24"/>
          <w:szCs w:val="24"/>
        </w:rPr>
      </w:pPr>
      <w:r w:rsidRPr="00B54D33">
        <w:rPr>
          <w:rFonts w:ascii="Calibri" w:hAnsi="Calibri"/>
          <w:sz w:val="24"/>
          <w:szCs w:val="24"/>
        </w:rPr>
        <w:t>dyrektywę ramową,</w:t>
      </w:r>
    </w:p>
    <w:p w14:paraId="7548C756" w14:textId="77777777" w:rsidR="00B54D33" w:rsidRPr="00B54D33" w:rsidRDefault="00B54D33" w:rsidP="00B54D33">
      <w:pPr>
        <w:numPr>
          <w:ilvl w:val="0"/>
          <w:numId w:val="8"/>
        </w:numPr>
        <w:jc w:val="both"/>
        <w:rPr>
          <w:rFonts w:ascii="Calibri" w:hAnsi="Calibri"/>
          <w:sz w:val="24"/>
          <w:szCs w:val="24"/>
        </w:rPr>
      </w:pPr>
      <w:r w:rsidRPr="00B54D33">
        <w:rPr>
          <w:rFonts w:ascii="Calibri" w:hAnsi="Calibri"/>
          <w:sz w:val="24"/>
          <w:szCs w:val="24"/>
        </w:rPr>
        <w:t xml:space="preserve">dyrektywę o dostępie, </w:t>
      </w:r>
    </w:p>
    <w:p w14:paraId="041415DF" w14:textId="77777777" w:rsidR="00B54D33" w:rsidRPr="00B54D33" w:rsidRDefault="00B54D33" w:rsidP="00B54D33">
      <w:pPr>
        <w:numPr>
          <w:ilvl w:val="0"/>
          <w:numId w:val="8"/>
        </w:numPr>
        <w:jc w:val="both"/>
        <w:rPr>
          <w:rFonts w:ascii="Calibri" w:hAnsi="Calibri"/>
          <w:sz w:val="24"/>
          <w:szCs w:val="24"/>
        </w:rPr>
      </w:pPr>
      <w:r w:rsidRPr="00B54D33">
        <w:rPr>
          <w:rFonts w:ascii="Calibri" w:hAnsi="Calibri"/>
          <w:sz w:val="24"/>
          <w:szCs w:val="24"/>
        </w:rPr>
        <w:t>dyrektywę o zezwoleniach,</w:t>
      </w:r>
    </w:p>
    <w:p w14:paraId="1197C795" w14:textId="77777777" w:rsidR="00B54D33" w:rsidRPr="00B54D33" w:rsidRDefault="00B54D33" w:rsidP="00B54D33">
      <w:pPr>
        <w:numPr>
          <w:ilvl w:val="0"/>
          <w:numId w:val="8"/>
        </w:numPr>
        <w:jc w:val="both"/>
        <w:rPr>
          <w:rFonts w:ascii="Calibri" w:hAnsi="Calibri"/>
          <w:sz w:val="24"/>
          <w:szCs w:val="24"/>
        </w:rPr>
      </w:pPr>
      <w:r w:rsidRPr="00B54D33">
        <w:rPr>
          <w:rFonts w:ascii="Calibri" w:hAnsi="Calibri"/>
          <w:sz w:val="24"/>
          <w:szCs w:val="24"/>
        </w:rPr>
        <w:t>dyrektywę o usłudze powszechnej.</w:t>
      </w:r>
    </w:p>
    <w:p w14:paraId="0566F7D2" w14:textId="36198AE6" w:rsidR="00050C56" w:rsidRPr="00112384" w:rsidRDefault="00050C56" w:rsidP="00B54D33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14:paraId="7FC12533" w14:textId="77777777" w:rsid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dniu 6 marca 2020 r. Minister Cyfryzacji rozpoczął </w:t>
      </w:r>
      <w:proofErr w:type="spellStart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prekonsultacje</w:t>
      </w:r>
      <w:proofErr w:type="spellEnd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projektu ustawy - Prawo komunikacji elektronicznej wraz z uzasadnieniem oraz projektu ustawy wprowadzającej ustawę –  Prawo  komunikacji elektronicznej. </w:t>
      </w:r>
    </w:p>
    <w:p w14:paraId="757C71E8" w14:textId="2FBD1A3A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toku </w:t>
      </w:r>
      <w:proofErr w:type="spellStart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prekonsultacji</w:t>
      </w:r>
      <w:proofErr w:type="spellEnd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następujące podmioty przedstawiły stanowisko odnoszące się do projektu:</w:t>
      </w:r>
    </w:p>
    <w:p w14:paraId="422ACEC9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Polska Izba Informatyki i Telekomunikacji, </w:t>
      </w:r>
    </w:p>
    <w:p w14:paraId="7F4BD872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Krajowa Izba Gospodarczej Elektroniki i Telekomunikacji, </w:t>
      </w:r>
    </w:p>
    <w:p w14:paraId="1BBB8F0B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Polska Izba Komunikacji Elektronicznej, </w:t>
      </w:r>
    </w:p>
    <w:p w14:paraId="056B55C4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4)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Krajowa Izba Komunikacji </w:t>
      </w:r>
      <w:proofErr w:type="spellStart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Ethernetowej</w:t>
      </w:r>
      <w:proofErr w:type="spellEnd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</w:p>
    <w:p w14:paraId="01C5FF99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5)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Polska Izba Radiodyfuzji Cyfrowej, </w:t>
      </w:r>
    </w:p>
    <w:p w14:paraId="23EB3752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6)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Związek Telewizji Kablowych w Polsce - Izba Gospodarcza,</w:t>
      </w:r>
    </w:p>
    <w:p w14:paraId="11B61B1D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7)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Izba Gospodarki Elektronicznej, </w:t>
      </w:r>
    </w:p>
    <w:p w14:paraId="123AD53F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8)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Związek Pracodawców Mediów Elektronicznych </w:t>
      </w:r>
      <w:proofErr w:type="spellStart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Mediakom</w:t>
      </w:r>
      <w:proofErr w:type="spellEnd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</w:p>
    <w:p w14:paraId="76137DB8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9)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Spółdzielnia Mieszkaniowa w Grudziądzu,</w:t>
      </w:r>
    </w:p>
    <w:p w14:paraId="64CADFA5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10)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SAYF,</w:t>
      </w:r>
    </w:p>
    <w:p w14:paraId="55F2BB0B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11)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Digital Virgo,</w:t>
      </w:r>
    </w:p>
    <w:p w14:paraId="5BFE89BC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12)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Centrum Technologii Mobilnych </w:t>
      </w:r>
      <w:proofErr w:type="spellStart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Mobiltek</w:t>
      </w:r>
      <w:proofErr w:type="spellEnd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S.A.,</w:t>
      </w:r>
    </w:p>
    <w:p w14:paraId="4EF6CAFC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13)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Polskie Stowarzyszenie Marketingu SMB, </w:t>
      </w:r>
    </w:p>
    <w:p w14:paraId="6CD60FA5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14)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Federacja Konsumentów, </w:t>
      </w:r>
    </w:p>
    <w:p w14:paraId="6B230E92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15)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Ogólnopolskie Porozumienie Organizacji Radioamatorskich, </w:t>
      </w:r>
    </w:p>
    <w:p w14:paraId="3AF2EAF4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16)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Polski Związek Krótkofalowców,</w:t>
      </w:r>
    </w:p>
    <w:p w14:paraId="142C6C7C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17)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Kancelaria Olesiński i Wspólnicy Sp. K.,</w:t>
      </w:r>
    </w:p>
    <w:p w14:paraId="074A7C5C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18)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Polski Związek Przemysłu Motoryzacyjnego,</w:t>
      </w:r>
    </w:p>
    <w:p w14:paraId="4F918873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19)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proofErr w:type="spellStart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Exatel</w:t>
      </w:r>
      <w:proofErr w:type="spellEnd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S.A.,</w:t>
      </w:r>
    </w:p>
    <w:p w14:paraId="1D2C7201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20)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Ministerstwo Obrony Narodowej, w tym Wojskowe Biuro Zarządzania Częstotliwościami, </w:t>
      </w:r>
    </w:p>
    <w:p w14:paraId="4D1E5C1E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21)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Ministerstwo Gospodarki Morskiej i Żeglugi Śródlądowej,</w:t>
      </w:r>
    </w:p>
    <w:p w14:paraId="20C0B6E1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22)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Ministerstwo Finansów,</w:t>
      </w:r>
    </w:p>
    <w:p w14:paraId="1C349043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23)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Ministerstwo Infrastruktury,</w:t>
      </w:r>
    </w:p>
    <w:p w14:paraId="278F087F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24)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Departament Prawa Unii Europejskiej  - Kancelaria Prezesa Rady Ministrów,</w:t>
      </w:r>
    </w:p>
    <w:p w14:paraId="3545C5C8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25)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Krajowa Rada Radiofonii i Telewizji,</w:t>
      </w:r>
    </w:p>
    <w:p w14:paraId="50C154BC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26)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Urząd Komunikacji Elektronicznej,</w:t>
      </w:r>
    </w:p>
    <w:p w14:paraId="23DC8A4A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27)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Urząd Ochrony Konkurencji i Konsumentów,</w:t>
      </w:r>
    </w:p>
    <w:p w14:paraId="5EB1F220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28)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Urząd Ochrony Danych Osobowych,</w:t>
      </w:r>
    </w:p>
    <w:p w14:paraId="6BA2AD22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29)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Polski Komitet Normalizacyjny,</w:t>
      </w:r>
    </w:p>
    <w:p w14:paraId="5AD8E6B0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30)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Komitet Techniczny,</w:t>
      </w:r>
    </w:p>
    <w:p w14:paraId="4E16D929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31)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Osoba fizyczna - radioamator</w:t>
      </w:r>
    </w:p>
    <w:p w14:paraId="5D95D0F6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32)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Związek Pracodawców Branży Internetowej IAB Polska, </w:t>
      </w:r>
    </w:p>
    <w:p w14:paraId="577E49C1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33)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Stowarzyszenie Praktyków Ochrony Danych Osobowych,</w:t>
      </w:r>
    </w:p>
    <w:p w14:paraId="22E04988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34)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Ministerstwo Spraw Wewnętrznych i Administracji,</w:t>
      </w:r>
    </w:p>
    <w:p w14:paraId="1171A6C6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35)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Kancelaria FORYSTEK &amp; PARTNERZY Adwokaci i Radcowie Prawni,</w:t>
      </w:r>
    </w:p>
    <w:p w14:paraId="5017AE87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36)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>Osoby fizyczne – uwagi w zakresie marketingu i tajemnicy telekomunikacyjnej,</w:t>
      </w:r>
    </w:p>
    <w:p w14:paraId="378F5E84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37)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Kancelaria </w:t>
      </w:r>
      <w:proofErr w:type="spellStart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Szostek_Bar</w:t>
      </w:r>
      <w:proofErr w:type="spellEnd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i Partnerzy.</w:t>
      </w:r>
    </w:p>
    <w:p w14:paraId="1229AFE5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W dniach:</w:t>
      </w:r>
    </w:p>
    <w:p w14:paraId="644D91AC" w14:textId="77777777" w:rsidR="008B5C62" w:rsidRPr="008B5C62" w:rsidRDefault="008B5C62" w:rsidP="008B5C6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17 kwietnia 2020 r.,</w:t>
      </w:r>
    </w:p>
    <w:p w14:paraId="0EDA5724" w14:textId="77777777" w:rsidR="008B5C62" w:rsidRPr="008B5C62" w:rsidRDefault="008B5C62" w:rsidP="008B5C6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28 kwietnia 2020 r.,</w:t>
      </w:r>
    </w:p>
    <w:p w14:paraId="694DC9E1" w14:textId="77777777" w:rsidR="008B5C62" w:rsidRPr="008B5C62" w:rsidRDefault="008B5C62" w:rsidP="008B5C6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29 kwietnia 2020 r.,</w:t>
      </w:r>
    </w:p>
    <w:p w14:paraId="6846B9B7" w14:textId="77777777" w:rsidR="008B5C62" w:rsidRPr="008B5C62" w:rsidRDefault="008B5C62" w:rsidP="008B5C6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8 maja 2020 r.,</w:t>
      </w:r>
    </w:p>
    <w:p w14:paraId="7C4FA0C8" w14:textId="77777777" w:rsidR="008B5C62" w:rsidRPr="008B5C62" w:rsidRDefault="008B5C62" w:rsidP="008B5C6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15 maja 2020 r.,</w:t>
      </w:r>
    </w:p>
    <w:p w14:paraId="15D809CD" w14:textId="77777777" w:rsidR="008B5C62" w:rsidRPr="008B5C62" w:rsidRDefault="008B5C62" w:rsidP="008B5C6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21 maja 2020 r. oraz</w:t>
      </w:r>
    </w:p>
    <w:p w14:paraId="1BFCBBBE" w14:textId="77777777" w:rsidR="008B5C62" w:rsidRPr="008B5C62" w:rsidRDefault="008B5C62" w:rsidP="008B5C62">
      <w:pPr>
        <w:numPr>
          <w:ilvl w:val="0"/>
          <w:numId w:val="9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22 maja 2020 r.</w:t>
      </w:r>
    </w:p>
    <w:p w14:paraId="49BB1953" w14:textId="09D0E3F3" w:rsidR="008B5C62" w:rsidRPr="008B5C62" w:rsidRDefault="00F25A25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8B5C62"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podmiotami, które złożyły stanowiska w toku </w:t>
      </w:r>
      <w:proofErr w:type="spellStart"/>
      <w:r w:rsidR="008B5C62" w:rsidRPr="008B5C62">
        <w:rPr>
          <w:rFonts w:eastAsia="Times New Roman" w:cstheme="minorHAnsi"/>
          <w:color w:val="000000"/>
          <w:sz w:val="24"/>
          <w:szCs w:val="24"/>
          <w:lang w:eastAsia="pl-PL"/>
        </w:rPr>
        <w:t>prekonsultacji</w:t>
      </w:r>
      <w:proofErr w:type="spellEnd"/>
      <w:r w:rsidR="008B5C62"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odbyły się warsztaty z wykorzystaniem środków porozumiewania się na odległość, na których zostały omówione zgłoszone uwagi. </w:t>
      </w:r>
    </w:p>
    <w:p w14:paraId="5F22F64F" w14:textId="77777777" w:rsid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B5013B5" w14:textId="0168F24A" w:rsid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  <w:t>Projekt został poddany konsultacjom publicznym oraz opiniowaniu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, które trwały 30 dni (od 29 lipca do 28 sierpnia 2020 r.)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29C772ED" w14:textId="2A10ECE2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Poniżej wskazano podmioty, do których został przesłany projekt ustawy w ramach konsultacji:</w:t>
      </w:r>
    </w:p>
    <w:p w14:paraId="6390A58B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1) Polska Izba Informatyki i Telekomunikacji,</w:t>
      </w:r>
    </w:p>
    <w:p w14:paraId="3F2BAF38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2) Krajowa Izba Gospodarczej Elektroniki i Telekomunikacji, </w:t>
      </w:r>
    </w:p>
    <w:p w14:paraId="09EDDC80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3) Polska Izba Komunikacji Elektronicznej, </w:t>
      </w:r>
    </w:p>
    <w:p w14:paraId="0530D639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4) Krajowa Izba Gospodarczej, </w:t>
      </w:r>
    </w:p>
    <w:p w14:paraId="3D96F344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5) Krajowa Izba Komunikacji </w:t>
      </w:r>
      <w:proofErr w:type="spellStart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Ethernetowej</w:t>
      </w:r>
      <w:proofErr w:type="spellEnd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 </w:t>
      </w:r>
    </w:p>
    <w:p w14:paraId="62FF5822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6) Polska Izba Radiodyfuzji Cyfrowej, </w:t>
      </w:r>
    </w:p>
    <w:p w14:paraId="78E507C9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7) Polska Izba Handlu, </w:t>
      </w:r>
    </w:p>
    <w:p w14:paraId="05689865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8) Izba Gospodarki Elektronicznej, </w:t>
      </w:r>
    </w:p>
    <w:p w14:paraId="18AAFD3C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9) Krajowa Izba Gospodarki Cyfrowej, </w:t>
      </w:r>
    </w:p>
    <w:p w14:paraId="72C1B685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10) Fundacja Bezpieczna Cyberprzestrzeń,  </w:t>
      </w:r>
    </w:p>
    <w:p w14:paraId="0C83F059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11) Polskie Towarzystwo Informatyczne, </w:t>
      </w:r>
    </w:p>
    <w:p w14:paraId="3CA84CB1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12) Fundacja Nowoczesna Polska,  </w:t>
      </w:r>
    </w:p>
    <w:p w14:paraId="1F92EB49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13) Fundacja Projekt Polska, </w:t>
      </w:r>
    </w:p>
    <w:p w14:paraId="6258FFD9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14) Internet </w:t>
      </w:r>
      <w:proofErr w:type="spellStart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Society</w:t>
      </w:r>
      <w:proofErr w:type="spellEnd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Poland,</w:t>
      </w:r>
    </w:p>
    <w:p w14:paraId="0B5C07BE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15) Stowarzyszenie Inżynierów Telekomunikacji,  </w:t>
      </w:r>
    </w:p>
    <w:p w14:paraId="64A1CAAE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16) Fundacja Panoptykon,  </w:t>
      </w:r>
    </w:p>
    <w:p w14:paraId="2DE95A11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17) Związek Pracodawców Mediów Publicznych, </w:t>
      </w:r>
    </w:p>
    <w:p w14:paraId="6C310462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18) Związek Pracodawców Mediów Elektronicznych </w:t>
      </w:r>
      <w:proofErr w:type="spellStart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Mediakom</w:t>
      </w:r>
      <w:proofErr w:type="spellEnd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</w:p>
    <w:p w14:paraId="2F820502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19) Związek Pracodawców Branży Internetowej IAB Polska, </w:t>
      </w:r>
    </w:p>
    <w:p w14:paraId="2A06FCAA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20) Związek Telewizji Kablowych w Polsce Izba Gospodarcza,  </w:t>
      </w:r>
    </w:p>
    <w:p w14:paraId="6917BE8D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21)  Związek Rzemiosła Polskiego</w:t>
      </w:r>
    </w:p>
    <w:p w14:paraId="4EF61B49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22) Polskie Centrum Badań i Certyfikacji S.A.,  </w:t>
      </w:r>
    </w:p>
    <w:p w14:paraId="5281A738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23) Polska Organizacja Handlu i Dystrybucji, </w:t>
      </w:r>
    </w:p>
    <w:p w14:paraId="52F8F82B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24) Naczelna Rada Zrzeszeń Handlu i Usług, </w:t>
      </w:r>
    </w:p>
    <w:p w14:paraId="345567E2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25) Polska Izba Producentów Urządzeń i Usług na rzecz Kolei, </w:t>
      </w:r>
    </w:p>
    <w:p w14:paraId="4B7F0FE9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26) Polskie Stowarzyszenie Marketingu SMB, </w:t>
      </w:r>
    </w:p>
    <w:p w14:paraId="64922A12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27) Fundacja </w:t>
      </w:r>
      <w:proofErr w:type="spellStart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ePaństwo</w:t>
      </w:r>
      <w:proofErr w:type="spellEnd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</w:p>
    <w:p w14:paraId="5664D8DE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28) Amerykańska Izba Handlowa, </w:t>
      </w:r>
    </w:p>
    <w:p w14:paraId="75E09ECD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29) Federacja Konsumentów,  </w:t>
      </w:r>
    </w:p>
    <w:p w14:paraId="45391CBA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30) Związek Importerów i Producentów Sprzętu Elektrycznego i Elektronicznego Branży RTV i IT – ZIPSEE „Cyfrowa Polska”, </w:t>
      </w:r>
    </w:p>
    <w:p w14:paraId="3B0FE7F5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31) Polski Związek Przemysłu Motoryzacyjnego, </w:t>
      </w:r>
    </w:p>
    <w:p w14:paraId="6C427A6B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32) Ogólnopolskie Porozumienie Organizacji Radioamatorskich, </w:t>
      </w:r>
    </w:p>
    <w:p w14:paraId="4D5F4199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33) Polski Związek Krótkofalowców, </w:t>
      </w:r>
    </w:p>
    <w:p w14:paraId="5A64659E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34) Związek Harcerstwa Polskiego,</w:t>
      </w:r>
    </w:p>
    <w:p w14:paraId="589B52D6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35) Związek Harcerstwa Rzeczypospolitej,</w:t>
      </w:r>
    </w:p>
    <w:p w14:paraId="59C5BFEC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36) Liga Obrony Kraju,</w:t>
      </w:r>
    </w:p>
    <w:p w14:paraId="126094F5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37) Stowarzyszenie Praktyków Ochrony Danych Osobowych, </w:t>
      </w:r>
    </w:p>
    <w:p w14:paraId="1E3F34C7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38) Sektorowa Rada ds. Kompetencji - Telekomunikacja i </w:t>
      </w:r>
      <w:proofErr w:type="spellStart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Cyberbezpieczeństwo</w:t>
      </w:r>
      <w:proofErr w:type="spellEnd"/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</w:p>
    <w:p w14:paraId="79D86B7D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39) Polska Izba Nieruchomości Komercyjnych, </w:t>
      </w:r>
    </w:p>
    <w:p w14:paraId="7EA09943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40) Polska Rada Biznesu;</w:t>
      </w:r>
    </w:p>
    <w:p w14:paraId="72248D1B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41) Naczelna Organizacja Techniczna</w:t>
      </w:r>
    </w:p>
    <w:p w14:paraId="466D8EDA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Dnia 30 października 2020 r. zorganizowano spotkanie dotyczące procedowanej ustawy Pke i ustawy – Przepisy wprowadzające Pke, w którym wzięli udział przede wszystkim przedstawiciele izb oraz Federacji Konsumentów. </w:t>
      </w:r>
    </w:p>
    <w:p w14:paraId="740E2945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Następnie, z podmiotami, które zgłosiły uwagi do Pke oraz przepisów wprowadzających ustawę Pke zorganizowano warsztaty dnia 30 listopada 2020 r. mające na celu omówienie kluczowych zagadnień związanych z projektem. </w:t>
      </w:r>
    </w:p>
    <w:p w14:paraId="5E52215E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 </w:t>
      </w:r>
      <w:r w:rsidRPr="008B5C62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Ponadto projekt ustawy został przekazany do zaopiniowania przez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</w:p>
    <w:p w14:paraId="0FD7032B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1) Radę Dialogu Społecznego,</w:t>
      </w:r>
    </w:p>
    <w:p w14:paraId="46A1514D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2) Business Centre Club – Związek Pracodawców, </w:t>
      </w:r>
    </w:p>
    <w:p w14:paraId="35B8D828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3) Niezależny Samorządny Związek Zawodowy „Solidarność”;</w:t>
      </w:r>
    </w:p>
    <w:p w14:paraId="0F494090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4) Ogólnopolskie Porozumienie Związków Zawodowych; </w:t>
      </w:r>
    </w:p>
    <w:p w14:paraId="083E997A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5) Forum Związków Zawodowych;</w:t>
      </w:r>
    </w:p>
    <w:p w14:paraId="64928388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6) Pracodawców Rzeczypospolitej Polskiej;</w:t>
      </w:r>
    </w:p>
    <w:p w14:paraId="63CCEAAC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7) Konfederację Lewiatan;</w:t>
      </w:r>
    </w:p>
    <w:p w14:paraId="4753A266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8) Związek Przedsiębiorców i Pracodawców</w:t>
      </w:r>
    </w:p>
    <w:p w14:paraId="6E89FBB1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9) Federację Związków Zawodowych Pracowników Automatyki i Telekomunikacji PKP</w:t>
      </w:r>
    </w:p>
    <w:p w14:paraId="3E89B0EF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10) Federację Związków Zawodowych Pracowników Telekomunikacji.</w:t>
      </w:r>
    </w:p>
    <w:p w14:paraId="43558F93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oraz</w:t>
      </w:r>
    </w:p>
    <w:p w14:paraId="4471D092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1) Krajową Radę Radiofonii i Telewizji;</w:t>
      </w:r>
    </w:p>
    <w:p w14:paraId="5D5B4688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2) Prezesa Urzędu Ochrony Konkurencji i Konsumentów;</w:t>
      </w:r>
    </w:p>
    <w:p w14:paraId="11ADB2EA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3) Prezesa Urzędu Komunikacji Elektronicznej; </w:t>
      </w:r>
    </w:p>
    <w:p w14:paraId="4FB576E0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4) Prezesa Urzędu Ochrony Danych Osobowych;</w:t>
      </w:r>
    </w:p>
    <w:p w14:paraId="7F9E4E3B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5) Polski Komitet Normalizacyjny;</w:t>
      </w:r>
    </w:p>
    <w:p w14:paraId="772C2BFC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6) Wojskowe Biuro Zarządzania Częstotliwościami;</w:t>
      </w:r>
    </w:p>
    <w:p w14:paraId="74A05ACE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7) Rzecznika Małych i Średnich Przedsiębiorców;</w:t>
      </w:r>
    </w:p>
    <w:p w14:paraId="46C87F35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8) Komisję Nadzoru Finansowego;</w:t>
      </w:r>
    </w:p>
    <w:p w14:paraId="14C4DD29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9) Rzecznika Praw Obywatelskich;</w:t>
      </w:r>
    </w:p>
    <w:p w14:paraId="5F653D9E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10) Prezesa Głównego Urzędu Statystycznego.</w:t>
      </w:r>
    </w:p>
    <w:p w14:paraId="49F9BA6D" w14:textId="77777777" w:rsidR="008B5C62" w:rsidRP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Z podmiotami, które zgłosiły uwagi w ramach uzgodnień oraz opiniowania zorganizowano konferencję uzgodnieniową w dniach 19-20 oraz 23 listopada 2020 r.</w:t>
      </w:r>
    </w:p>
    <w:p w14:paraId="656A1A52" w14:textId="77777777"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328096FA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2DC4799E" w14:textId="77777777" w:rsidR="008B5C62" w:rsidRDefault="008B5C62" w:rsidP="008B5C62">
      <w:pPr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>W wyniku konsultacji został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a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zgłoszon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a duża ilość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uwag, głownie przez izby telekomunikacyjne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ale również przez organizacje konsumenckie. </w:t>
      </w:r>
      <w:r w:rsidRPr="008B5C6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Uwagi te w części zostały uznane za zasadne. </w:t>
      </w:r>
    </w:p>
    <w:p w14:paraId="0A2CD0D6" w14:textId="49BC7191" w:rsidR="00B608CA" w:rsidRDefault="00994159" w:rsidP="008B5C62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Szczegółowe omówienie wyników konsultacji i opiniowania znajduje się w tabeli </w:t>
      </w:r>
      <w:r w:rsidR="005E350C">
        <w:rPr>
          <w:rFonts w:ascii="Calibri" w:hAnsi="Calibri"/>
          <w:sz w:val="24"/>
          <w:szCs w:val="24"/>
        </w:rPr>
        <w:t>stanowiącej załącznik do Raportu.</w:t>
      </w:r>
    </w:p>
    <w:p w14:paraId="7685FC2D" w14:textId="77777777" w:rsidR="008B5C62" w:rsidRPr="00112384" w:rsidRDefault="008B5C62" w:rsidP="008B5C62">
      <w:pPr>
        <w:spacing w:after="0"/>
        <w:jc w:val="both"/>
        <w:rPr>
          <w:rFonts w:ascii="Calibri" w:hAnsi="Calibri"/>
          <w:sz w:val="24"/>
          <w:szCs w:val="24"/>
        </w:rPr>
      </w:pPr>
    </w:p>
    <w:p w14:paraId="74545750" w14:textId="77777777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62A69365" w14:textId="0BEBB3F3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8B5C62">
        <w:rPr>
          <w:rFonts w:ascii="Calibri" w:hAnsi="Calibri"/>
          <w:sz w:val="24"/>
          <w:szCs w:val="24"/>
        </w:rPr>
        <w:t>ustawy nie</w:t>
      </w:r>
      <w:r w:rsidRPr="00112384">
        <w:rPr>
          <w:rFonts w:ascii="Calibri" w:hAnsi="Calibri"/>
          <w:sz w:val="24"/>
          <w:szCs w:val="24"/>
        </w:rPr>
        <w:t xml:space="preserve"> wymaga przedłożenia właściwym instytucjom i organom Unii Europejskiej lub Europejskiemu Bankowi Centralnemu w celu uzyskania opinii, dokonania konsultacji lub uzgodnienia. </w:t>
      </w:r>
    </w:p>
    <w:p w14:paraId="2B7162EF" w14:textId="77777777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37ED2B1D" w14:textId="77777777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lastRenderedPageBreak/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82938BD"/>
    <w:multiLevelType w:val="hybridMultilevel"/>
    <w:tmpl w:val="85E65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4" w15:restartNumberingAfterBreak="0">
    <w:nsid w:val="64BD78D3"/>
    <w:multiLevelType w:val="hybridMultilevel"/>
    <w:tmpl w:val="F4A858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8560A"/>
    <w:multiLevelType w:val="hybridMultilevel"/>
    <w:tmpl w:val="0C6027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5A3"/>
    <w:rsid w:val="00017B20"/>
    <w:rsid w:val="00050C56"/>
    <w:rsid w:val="000745F3"/>
    <w:rsid w:val="00084B8C"/>
    <w:rsid w:val="00093716"/>
    <w:rsid w:val="000B178A"/>
    <w:rsid w:val="000E672C"/>
    <w:rsid w:val="0010196C"/>
    <w:rsid w:val="00112384"/>
    <w:rsid w:val="0012549A"/>
    <w:rsid w:val="00160C95"/>
    <w:rsid w:val="001838CE"/>
    <w:rsid w:val="001D13A9"/>
    <w:rsid w:val="001F3BBB"/>
    <w:rsid w:val="002240C6"/>
    <w:rsid w:val="002C390C"/>
    <w:rsid w:val="00367906"/>
    <w:rsid w:val="003721FC"/>
    <w:rsid w:val="00372D00"/>
    <w:rsid w:val="00385697"/>
    <w:rsid w:val="003A3CD3"/>
    <w:rsid w:val="003D4E9F"/>
    <w:rsid w:val="003E5A5E"/>
    <w:rsid w:val="00415D81"/>
    <w:rsid w:val="00491D95"/>
    <w:rsid w:val="00496AAA"/>
    <w:rsid w:val="004B332B"/>
    <w:rsid w:val="00563288"/>
    <w:rsid w:val="005A013B"/>
    <w:rsid w:val="005A5634"/>
    <w:rsid w:val="005B28D9"/>
    <w:rsid w:val="005E350C"/>
    <w:rsid w:val="00606104"/>
    <w:rsid w:val="00634703"/>
    <w:rsid w:val="00645012"/>
    <w:rsid w:val="00646235"/>
    <w:rsid w:val="00671216"/>
    <w:rsid w:val="00680371"/>
    <w:rsid w:val="00681328"/>
    <w:rsid w:val="006928AF"/>
    <w:rsid w:val="006A5DE9"/>
    <w:rsid w:val="006C571A"/>
    <w:rsid w:val="00732E65"/>
    <w:rsid w:val="00746EFE"/>
    <w:rsid w:val="00774C8A"/>
    <w:rsid w:val="007A71CB"/>
    <w:rsid w:val="007D588E"/>
    <w:rsid w:val="008027AC"/>
    <w:rsid w:val="00884DCF"/>
    <w:rsid w:val="008B5C62"/>
    <w:rsid w:val="00930E1D"/>
    <w:rsid w:val="00994159"/>
    <w:rsid w:val="009C42C8"/>
    <w:rsid w:val="009F448A"/>
    <w:rsid w:val="00A04590"/>
    <w:rsid w:val="00A0591D"/>
    <w:rsid w:val="00A212AF"/>
    <w:rsid w:val="00A61444"/>
    <w:rsid w:val="00A63180"/>
    <w:rsid w:val="00A848FD"/>
    <w:rsid w:val="00AC23D8"/>
    <w:rsid w:val="00B349C5"/>
    <w:rsid w:val="00B54D33"/>
    <w:rsid w:val="00B608CA"/>
    <w:rsid w:val="00B72A01"/>
    <w:rsid w:val="00BA2FAA"/>
    <w:rsid w:val="00BC599C"/>
    <w:rsid w:val="00BF2BFA"/>
    <w:rsid w:val="00CC06F2"/>
    <w:rsid w:val="00D34269"/>
    <w:rsid w:val="00D56FA3"/>
    <w:rsid w:val="00D76FA5"/>
    <w:rsid w:val="00D92297"/>
    <w:rsid w:val="00D92B0B"/>
    <w:rsid w:val="00D934C6"/>
    <w:rsid w:val="00E315A3"/>
    <w:rsid w:val="00E556C7"/>
    <w:rsid w:val="00E61272"/>
    <w:rsid w:val="00EE0462"/>
    <w:rsid w:val="00F25A25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6547E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1150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Wójcik Małgorzata</cp:lastModifiedBy>
  <cp:revision>2</cp:revision>
  <cp:lastPrinted>2018-04-11T20:28:00Z</cp:lastPrinted>
  <dcterms:created xsi:type="dcterms:W3CDTF">2021-02-11T12:11:00Z</dcterms:created>
  <dcterms:modified xsi:type="dcterms:W3CDTF">2021-02-11T12:11:00Z</dcterms:modified>
</cp:coreProperties>
</file>